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39" w:rsidRDefault="00765439"/>
    <w:p w:rsidR="00765439" w:rsidRDefault="003449EF">
      <w:pPr>
        <w:rPr>
          <w:rFonts w:ascii="Century Gothic" w:hAnsi="Century Gothic"/>
          <w:b/>
        </w:rPr>
      </w:pPr>
      <w:r>
        <w:rPr>
          <w:rFonts w:ascii="Century Gothic" w:hAnsi="Century Gothic"/>
          <w:b/>
        </w:rPr>
        <w:t>MEDIA RELEASE</w:t>
      </w:r>
    </w:p>
    <w:p w:rsidR="00765439" w:rsidRDefault="003449EF">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March</w:t>
      </w:r>
      <w:r>
        <w:rPr>
          <w:rFonts w:ascii="Century Gothic" w:hAnsi="Century Gothic"/>
        </w:rPr>
        <w:t xml:space="preserve"> 2017</w:t>
      </w:r>
    </w:p>
    <w:p w:rsidR="00765439" w:rsidRDefault="003449EF">
      <w:pPr>
        <w:autoSpaceDE w:val="0"/>
        <w:autoSpaceDN w:val="0"/>
        <w:adjustRightInd w:val="0"/>
        <w:spacing w:after="120" w:line="360" w:lineRule="auto"/>
        <w:jc w:val="center"/>
        <w:rPr>
          <w:rFonts w:ascii="Century Gothic" w:eastAsiaTheme="minorHAnsi" w:hAnsi="Century Gothic" w:cs="Calibri-Bold"/>
          <w:bCs/>
          <w:color w:val="002060"/>
          <w:sz w:val="28"/>
          <w:szCs w:val="28"/>
        </w:rPr>
      </w:pPr>
      <w:r>
        <w:rPr>
          <w:rFonts w:ascii="AvantGarde" w:hAnsi="AvantGarde"/>
          <w:b/>
          <w:bCs/>
          <w:color w:val="012169"/>
        </w:rPr>
        <w:br/>
      </w:r>
      <w:r>
        <w:rPr>
          <w:rFonts w:ascii="Century Gothic" w:eastAsiaTheme="minorHAnsi" w:hAnsi="Century Gothic" w:cs="Calibri-Bold"/>
          <w:bCs/>
          <w:color w:val="002060"/>
          <w:sz w:val="28"/>
          <w:szCs w:val="28"/>
        </w:rPr>
        <w:t xml:space="preserve">How to make more money from </w:t>
      </w:r>
      <w:proofErr w:type="spellStart"/>
      <w:r>
        <w:rPr>
          <w:rFonts w:ascii="Century Gothic" w:eastAsiaTheme="minorHAnsi" w:hAnsi="Century Gothic" w:cs="Calibri-Bold"/>
          <w:bCs/>
          <w:color w:val="002060"/>
          <w:sz w:val="28"/>
          <w:szCs w:val="28"/>
        </w:rPr>
        <w:t>rentvesting</w:t>
      </w:r>
      <w:proofErr w:type="spellEnd"/>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BMT Tax Depreciation believes that many new investors pursuing a strategy of ‘</w:t>
      </w:r>
      <w:proofErr w:type="spellStart"/>
      <w:r w:rsidRPr="003449EF">
        <w:rPr>
          <w:rFonts w:ascii="Century Gothic" w:eastAsia="Calibri" w:hAnsi="Century Gothic" w:cs="Calibri"/>
          <w:sz w:val="20"/>
          <w:szCs w:val="20"/>
          <w:lang w:val="en-AU"/>
        </w:rPr>
        <w:t>rentvesting</w:t>
      </w:r>
      <w:proofErr w:type="spellEnd"/>
      <w:r w:rsidRPr="003449EF">
        <w:rPr>
          <w:rFonts w:ascii="Century Gothic" w:eastAsia="Calibri" w:hAnsi="Century Gothic" w:cs="Calibri"/>
          <w:sz w:val="20"/>
          <w:szCs w:val="20"/>
          <w:lang w:val="en-AU"/>
        </w:rPr>
        <w:t xml:space="preserve">’ may be leaving thousands of dollars of legitimate tax savings on the table by not utilising tax depreciation.  </w:t>
      </w:r>
    </w:p>
    <w:p w:rsidR="003449EF" w:rsidRPr="003449EF" w:rsidRDefault="003449EF" w:rsidP="003449EF">
      <w:pPr>
        <w:spacing w:before="200" w:after="200" w:line="276" w:lineRule="auto"/>
        <w:rPr>
          <w:rFonts w:ascii="Century Gothic" w:eastAsia="Calibri" w:hAnsi="Century Gothic" w:cs="Calibri"/>
          <w:sz w:val="20"/>
          <w:szCs w:val="20"/>
          <w:lang w:val="en-AU"/>
        </w:rPr>
      </w:pPr>
      <w:proofErr w:type="spellStart"/>
      <w:r w:rsidRPr="003449EF">
        <w:rPr>
          <w:rFonts w:ascii="Century Gothic" w:eastAsia="Calibri" w:hAnsi="Century Gothic" w:cs="Calibri"/>
          <w:sz w:val="20"/>
          <w:szCs w:val="20"/>
          <w:lang w:val="en-AU"/>
        </w:rPr>
        <w:t>Rentvesting</w:t>
      </w:r>
      <w:proofErr w:type="spellEnd"/>
      <w:r w:rsidRPr="003449EF">
        <w:rPr>
          <w:rFonts w:ascii="Century Gothic" w:eastAsia="Calibri" w:hAnsi="Century Gothic" w:cs="Calibri"/>
          <w:sz w:val="20"/>
          <w:szCs w:val="20"/>
          <w:lang w:val="en-AU"/>
        </w:rPr>
        <w:t xml:space="preserve"> refers to the choice of some Australians to purchase property in an area they can afford in order to generate rental income and enter the property market, whilst simultaneously renting a property in an area where they want to live.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BMT has worked with more than half a million property investors, including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to help them utilise tax depreciation to uncover legitimate tax deductions for the wear and ageing of their investment properties.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“The </w:t>
      </w:r>
      <w:proofErr w:type="spellStart"/>
      <w:r w:rsidRPr="003449EF">
        <w:rPr>
          <w:rFonts w:ascii="Century Gothic" w:eastAsia="Calibri" w:hAnsi="Century Gothic" w:cs="Calibri"/>
          <w:sz w:val="20"/>
          <w:szCs w:val="20"/>
          <w:lang w:val="en-AU"/>
        </w:rPr>
        <w:t>rentvesting</w:t>
      </w:r>
      <w:proofErr w:type="spellEnd"/>
      <w:r w:rsidRPr="003449EF">
        <w:rPr>
          <w:rFonts w:ascii="Century Gothic" w:eastAsia="Calibri" w:hAnsi="Century Gothic" w:cs="Calibri"/>
          <w:sz w:val="20"/>
          <w:szCs w:val="20"/>
          <w:lang w:val="en-AU"/>
        </w:rPr>
        <w:t xml:space="preserve"> approach to property investing seems to have gained a lot of traction in recent years as it can allow some Australians the opportunity to achieve property ownership without having to sacrifice their preferred lifestyle,” said Bradley Beer, the Chief Executive Officer of BMT Tax Depreciation.</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“There are many advantages </w:t>
      </w:r>
      <w:proofErr w:type="spellStart"/>
      <w:r w:rsidRPr="003449EF">
        <w:rPr>
          <w:rFonts w:ascii="Century Gothic" w:eastAsia="Calibri" w:hAnsi="Century Gothic" w:cs="Calibri"/>
          <w:sz w:val="20"/>
          <w:szCs w:val="20"/>
          <w:lang w:val="en-AU"/>
        </w:rPr>
        <w:t>rentvesting</w:t>
      </w:r>
      <w:proofErr w:type="spellEnd"/>
      <w:r w:rsidRPr="003449EF">
        <w:rPr>
          <w:rFonts w:ascii="Century Gothic" w:eastAsia="Calibri" w:hAnsi="Century Gothic" w:cs="Calibri"/>
          <w:sz w:val="20"/>
          <w:szCs w:val="20"/>
          <w:lang w:val="en-AU"/>
        </w:rPr>
        <w:t xml:space="preserve"> offers including living in your favoured suburb, flexibility to live closer to work or to move when your circumstances or property needs change. However, tax depreciation may be an underestimated advantage of this strategy,” said Bradley Beer.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“BMT research has found that thousands of property investors are likely not claiming every legitimate tax deduction relating to their investment property which also suggests that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who might be might be younger, may also be leaving thousands of dollars of deductions unclaimed each year.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“Many people in this group may be surprised to learn how their </w:t>
      </w:r>
      <w:proofErr w:type="spellStart"/>
      <w:r w:rsidRPr="003449EF">
        <w:rPr>
          <w:rFonts w:ascii="Century Gothic" w:eastAsia="Calibri" w:hAnsi="Century Gothic" w:cs="Calibri"/>
          <w:sz w:val="20"/>
          <w:szCs w:val="20"/>
          <w:lang w:val="en-AU"/>
        </w:rPr>
        <w:t>rentvesting</w:t>
      </w:r>
      <w:proofErr w:type="spellEnd"/>
      <w:r w:rsidRPr="003449EF">
        <w:rPr>
          <w:rFonts w:ascii="Century Gothic" w:eastAsia="Calibri" w:hAnsi="Century Gothic" w:cs="Calibri"/>
          <w:sz w:val="20"/>
          <w:szCs w:val="20"/>
          <w:lang w:val="en-AU"/>
        </w:rPr>
        <w:t xml:space="preserve"> strategy can also increase their cash flow as they are legitimately entitled to utilise tax depreciation,” said Bradley Beer.  </w:t>
      </w:r>
    </w:p>
    <w:p w:rsidR="003449EF" w:rsidRPr="003449EF" w:rsidRDefault="003449EF" w:rsidP="003449EF">
      <w:pPr>
        <w:spacing w:before="200" w:after="200" w:line="276" w:lineRule="auto"/>
        <w:rPr>
          <w:rFonts w:ascii="Century Gothic" w:eastAsia="Calibri" w:hAnsi="Century Gothic" w:cs="Calibri"/>
          <w:sz w:val="20"/>
          <w:szCs w:val="20"/>
          <w:shd w:val="clear" w:color="auto" w:fill="FFFFFF"/>
          <w:lang w:val="en-AU"/>
        </w:rPr>
      </w:pPr>
      <w:r w:rsidRPr="003449EF">
        <w:rPr>
          <w:rFonts w:ascii="Century Gothic" w:eastAsia="Calibri" w:hAnsi="Century Gothic" w:cs="Calibri"/>
          <w:sz w:val="20"/>
          <w:szCs w:val="20"/>
          <w:shd w:val="clear" w:color="auto" w:fill="FFFFFF"/>
          <w:lang w:val="en-AU"/>
        </w:rPr>
        <w:t xml:space="preserve">The latest data from the Australian Bureau of Statistics (ABS) on Housing Occupancy and Costs for 2013-2014 revealed that 263,000 Australian households own an investment property but are currently renting their usual residence.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The Australian Taxation Office (ATO) recognises that the structure of a rental property and the assets within it  experience wear and tear as they age over time and therefore allows for tax concessions for investors and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to account for this deterioration. Quantity surveyors such as BMT are used to uncover these deductions and to maximise depreciation claims for property investors by providing depreciation schedules.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“Renovating an investment property ready for a tenant may initially hit in the back pocket however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can recoup some of the initial costs by claiming deductions for them,” said Bradley Beer.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“To help stimulate immediate cash flow, investors can claim the full value for assets valued less than $300 in the first financial year. For example they may be able to claim $265 for a ceiling fan, $250 for a garbage bin and $145 for smoke alarm. </w:t>
      </w:r>
    </w:p>
    <w:p w:rsidR="003449EF" w:rsidRPr="003449EF" w:rsidRDefault="003449EF" w:rsidP="003449EF">
      <w:pPr>
        <w:spacing w:before="200" w:after="200" w:line="276" w:lineRule="auto"/>
        <w:rPr>
          <w:rFonts w:ascii="Century Gothic" w:eastAsia="Calibri" w:hAnsi="Century Gothic" w:cs="Calibri"/>
          <w:sz w:val="20"/>
          <w:szCs w:val="20"/>
          <w:lang w:val="en-AU"/>
        </w:rPr>
      </w:pPr>
      <w:r>
        <w:rPr>
          <w:rFonts w:ascii="Century Gothic" w:eastAsia="Calibri" w:hAnsi="Century Gothic" w:cs="Calibri"/>
          <w:sz w:val="20"/>
          <w:szCs w:val="20"/>
          <w:lang w:val="en-AU"/>
        </w:rPr>
        <w:lastRenderedPageBreak/>
        <w:br/>
      </w:r>
      <w:r w:rsidRPr="003449EF">
        <w:rPr>
          <w:rFonts w:ascii="Century Gothic" w:eastAsia="Calibri" w:hAnsi="Century Gothic" w:cs="Calibri"/>
          <w:sz w:val="20"/>
          <w:szCs w:val="20"/>
          <w:lang w:val="en-AU"/>
        </w:rPr>
        <w:t xml:space="preserve">“There are many other unexpected items within an investment property that may attract valuable deductions for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such as ovens, dishwashers and hot water systems,” said Bradley Beer.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Deductions can be claimed over a property’s lifetime which is forty years according to the ATO, meaning that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may be setting themselves up for years of additional money in the form of tax savings if deductions are correctly assessed and included in an investor’s tax return.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“By utilising tax depreciation,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may be able to work towards expanding their property portfolios or purchasing their dream home sooner than they thought was possible,” said Bradley Beer.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A quantity surveyor can inspect the investment property in question and produce a depreciation schedule that lists all the relevant depreciation deductions an investor can legitimately claim over the life of the property. The cost of the schedule is also 100 per cent tax deductible. </w:t>
      </w:r>
    </w:p>
    <w:p w:rsidR="003449EF" w:rsidRPr="003449EF" w:rsidRDefault="003449EF" w:rsidP="003449EF">
      <w:pPr>
        <w:spacing w:before="200" w:after="200" w:line="276" w:lineRule="auto"/>
        <w:rPr>
          <w:rFonts w:ascii="Century Gothic" w:eastAsia="Calibri" w:hAnsi="Century Gothic" w:cs="Calibri"/>
          <w:sz w:val="20"/>
          <w:szCs w:val="20"/>
          <w:lang w:val="en-AU"/>
        </w:rPr>
      </w:pPr>
      <w:r w:rsidRPr="003449EF">
        <w:rPr>
          <w:rFonts w:ascii="Century Gothic" w:eastAsia="Calibri" w:hAnsi="Century Gothic" w:cs="Calibri"/>
          <w:sz w:val="20"/>
          <w:szCs w:val="20"/>
          <w:lang w:val="en-AU"/>
        </w:rPr>
        <w:t xml:space="preserve">BMT has a free online calculator that interested </w:t>
      </w:r>
      <w:proofErr w:type="spellStart"/>
      <w:r w:rsidRPr="003449EF">
        <w:rPr>
          <w:rFonts w:ascii="Century Gothic" w:eastAsia="Calibri" w:hAnsi="Century Gothic" w:cs="Calibri"/>
          <w:sz w:val="20"/>
          <w:szCs w:val="20"/>
          <w:lang w:val="en-AU"/>
        </w:rPr>
        <w:t>rentvestors</w:t>
      </w:r>
      <w:proofErr w:type="spellEnd"/>
      <w:r w:rsidRPr="003449EF">
        <w:rPr>
          <w:rFonts w:ascii="Century Gothic" w:eastAsia="Calibri" w:hAnsi="Century Gothic" w:cs="Calibri"/>
          <w:sz w:val="20"/>
          <w:szCs w:val="20"/>
          <w:lang w:val="en-AU"/>
        </w:rPr>
        <w:t xml:space="preserve"> can use to estimate the likely depreciation deductions claimable fro</w:t>
      </w:r>
      <w:bookmarkStart w:id="0" w:name="_GoBack"/>
      <w:bookmarkEnd w:id="0"/>
      <w:r w:rsidRPr="003449EF">
        <w:rPr>
          <w:rFonts w:ascii="Century Gothic" w:eastAsia="Calibri" w:hAnsi="Century Gothic" w:cs="Calibri"/>
          <w:sz w:val="20"/>
          <w:szCs w:val="20"/>
          <w:lang w:val="en-AU"/>
        </w:rPr>
        <w:t>m their investment property.</w:t>
      </w:r>
    </w:p>
    <w:p w:rsidR="00765439" w:rsidRDefault="00765439">
      <w:pPr>
        <w:rPr>
          <w:rFonts w:ascii="Century Gothic" w:hAnsi="Century Gothic"/>
          <w:b/>
          <w:sz w:val="20"/>
          <w:szCs w:val="20"/>
        </w:rPr>
      </w:pPr>
    </w:p>
    <w:p w:rsidR="00765439" w:rsidRDefault="003449EF">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rsidR="00765439" w:rsidRDefault="003449EF">
      <w:pPr>
        <w:rPr>
          <w:rFonts w:ascii="Century Gothic" w:hAnsi="Century Gothic"/>
          <w:sz w:val="20"/>
          <w:szCs w:val="20"/>
        </w:rPr>
      </w:pPr>
      <w:r>
        <w:rPr>
          <w:rFonts w:ascii="Century Gothic" w:hAnsi="Century Gothic"/>
          <w:b/>
        </w:rP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765439" w:rsidRDefault="00765439">
      <w:pPr>
        <w:spacing w:line="360" w:lineRule="auto"/>
        <w:rPr>
          <w:rFonts w:ascii="Century Gothic" w:hAnsi="Century Gothic"/>
          <w:b/>
          <w:sz w:val="20"/>
          <w:szCs w:val="20"/>
        </w:rPr>
      </w:pPr>
    </w:p>
    <w:p w:rsidR="00765439" w:rsidRDefault="003449EF">
      <w:pPr>
        <w:spacing w:line="360" w:lineRule="auto"/>
        <w:rPr>
          <w:rFonts w:ascii="Century Gothic" w:hAnsi="Century Gothic"/>
          <w:b/>
        </w:rPr>
      </w:pPr>
      <w:r>
        <w:rPr>
          <w:rFonts w:ascii="Century Gothic" w:hAnsi="Century Gothic"/>
          <w:b/>
        </w:rPr>
        <w:t>About BMT Tax Depreciation</w:t>
      </w:r>
    </w:p>
    <w:p w:rsidR="00765439" w:rsidRDefault="003449EF">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w:t>
      </w:r>
      <w:r>
        <w:rPr>
          <w:rFonts w:ascii="Century Gothic" w:hAnsi="Century Gothic"/>
          <w:sz w:val="20"/>
          <w:szCs w:val="20"/>
        </w:rPr>
        <w:t>tta, Melbourne, Brisbane, Newcastle, Adelaide, Perth, Gold Coast, Cairns, Canberra, Hobart and Darwin.</w:t>
      </w: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p w:rsidR="00765439" w:rsidRDefault="00765439">
      <w:pPr>
        <w:tabs>
          <w:tab w:val="left" w:pos="2720"/>
        </w:tabs>
      </w:pPr>
    </w:p>
    <w:sectPr w:rsidR="00765439">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39" w:rsidRDefault="003449EF">
      <w:r>
        <w:separator/>
      </w:r>
    </w:p>
  </w:endnote>
  <w:endnote w:type="continuationSeparator" w:id="0">
    <w:p w:rsidR="00765439" w:rsidRDefault="0034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39" w:rsidRDefault="003449EF">
      <w:r>
        <w:separator/>
      </w:r>
    </w:p>
  </w:footnote>
  <w:footnote w:type="continuationSeparator" w:id="0">
    <w:p w:rsidR="00765439" w:rsidRDefault="0034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39" w:rsidRDefault="003449EF">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5439" w:rsidRDefault="00765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39"/>
    <w:rsid w:val="003449EF"/>
    <w:rsid w:val="0076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6D15-F206-428C-99E4-CD28FEA2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2</cp:revision>
  <dcterms:created xsi:type="dcterms:W3CDTF">2017-06-28T05:14:00Z</dcterms:created>
  <dcterms:modified xsi:type="dcterms:W3CDTF">2017-06-28T05:14:00Z</dcterms:modified>
</cp:coreProperties>
</file>